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1C" w:rsidRDefault="00E77E1C" w:rsidP="00E77E1C">
      <w:pPr>
        <w:spacing w:line="480" w:lineRule="exact"/>
        <w:ind w:right="222"/>
        <w:jc w:val="left"/>
        <w:rPr>
          <w:rFonts w:ascii="仿宋_GB2312" w:eastAsia="仿宋_GB2312" w:cs="仿宋_GB2312"/>
          <w:spacing w:val="10"/>
          <w:sz w:val="28"/>
          <w:szCs w:val="28"/>
        </w:rPr>
      </w:pPr>
      <w:r>
        <w:rPr>
          <w:rFonts w:ascii="仿宋_GB2312" w:eastAsia="仿宋_GB2312" w:cs="仿宋_GB2312" w:hint="eastAsia"/>
          <w:spacing w:val="10"/>
          <w:sz w:val="28"/>
          <w:szCs w:val="28"/>
        </w:rPr>
        <w:t>附件</w:t>
      </w:r>
      <w:r>
        <w:rPr>
          <w:rFonts w:ascii="仿宋_GB2312" w:eastAsia="仿宋_GB2312" w:cs="仿宋_GB2312"/>
          <w:spacing w:val="10"/>
          <w:sz w:val="28"/>
          <w:szCs w:val="28"/>
        </w:rPr>
        <w:t>：</w:t>
      </w:r>
    </w:p>
    <w:p w:rsidR="00E77E1C" w:rsidRDefault="00E77E1C" w:rsidP="00E77E1C">
      <w:pPr>
        <w:spacing w:line="480" w:lineRule="exact"/>
        <w:ind w:right="222"/>
        <w:jc w:val="left"/>
        <w:rPr>
          <w:rFonts w:ascii="仿宋_GB2312" w:eastAsia="仿宋_GB2312" w:cs="仿宋_GB2312"/>
          <w:spacing w:val="10"/>
          <w:sz w:val="28"/>
          <w:szCs w:val="28"/>
        </w:rPr>
      </w:pPr>
    </w:p>
    <w:p w:rsidR="00E77E1C" w:rsidRPr="00417F5A" w:rsidRDefault="00E77E1C" w:rsidP="00E77E1C">
      <w:pPr>
        <w:spacing w:line="480" w:lineRule="exact"/>
        <w:ind w:right="222"/>
        <w:jc w:val="center"/>
        <w:rPr>
          <w:rFonts w:ascii="仿宋_GB2312" w:eastAsia="仿宋_GB2312" w:cs="仿宋_GB2312"/>
          <w:b/>
          <w:spacing w:val="10"/>
          <w:sz w:val="28"/>
          <w:szCs w:val="28"/>
        </w:rPr>
      </w:pPr>
      <w:r w:rsidRPr="00417F5A">
        <w:rPr>
          <w:rFonts w:ascii="仿宋_GB2312" w:eastAsia="仿宋_GB2312" w:cs="仿宋_GB2312" w:hint="eastAsia"/>
          <w:b/>
          <w:spacing w:val="10"/>
          <w:sz w:val="28"/>
          <w:szCs w:val="28"/>
        </w:rPr>
        <w:t>“五月的花海”2019东南大学校园文化月</w:t>
      </w:r>
    </w:p>
    <w:p w:rsidR="00E77E1C" w:rsidRPr="00417F5A" w:rsidRDefault="00E77E1C" w:rsidP="00E77E1C">
      <w:pPr>
        <w:spacing w:line="480" w:lineRule="exact"/>
        <w:ind w:right="222"/>
        <w:jc w:val="center"/>
        <w:rPr>
          <w:rFonts w:ascii="仿宋_GB2312" w:eastAsia="仿宋_GB2312" w:cs="仿宋_GB2312"/>
          <w:b/>
          <w:spacing w:val="10"/>
          <w:sz w:val="28"/>
          <w:szCs w:val="28"/>
        </w:rPr>
      </w:pPr>
      <w:r w:rsidRPr="00417F5A">
        <w:rPr>
          <w:rFonts w:ascii="仿宋_GB2312" w:eastAsia="仿宋_GB2312" w:cs="仿宋_GB2312" w:hint="eastAsia"/>
          <w:b/>
          <w:spacing w:val="10"/>
          <w:sz w:val="28"/>
          <w:szCs w:val="28"/>
        </w:rPr>
        <w:t>暨首届东南大学毕业文化季系列</w:t>
      </w:r>
      <w:bookmarkStart w:id="0" w:name="_GoBack"/>
      <w:r w:rsidRPr="00417F5A">
        <w:rPr>
          <w:rFonts w:ascii="仿宋_GB2312" w:eastAsia="仿宋_GB2312" w:cs="仿宋_GB2312" w:hint="eastAsia"/>
          <w:b/>
          <w:spacing w:val="10"/>
          <w:sz w:val="28"/>
          <w:szCs w:val="28"/>
        </w:rPr>
        <w:t>活动申报</w:t>
      </w:r>
      <w:r w:rsidRPr="00417F5A">
        <w:rPr>
          <w:rFonts w:ascii="仿宋_GB2312" w:eastAsia="仿宋_GB2312" w:cs="仿宋_GB2312"/>
          <w:b/>
          <w:spacing w:val="10"/>
          <w:sz w:val="28"/>
          <w:szCs w:val="28"/>
        </w:rPr>
        <w:t>表</w:t>
      </w:r>
    </w:p>
    <w:bookmarkEnd w:id="0"/>
    <w:p w:rsidR="00E77E1C" w:rsidRDefault="00E77E1C" w:rsidP="00E77E1C">
      <w:pPr>
        <w:spacing w:line="480" w:lineRule="exact"/>
        <w:ind w:right="222"/>
        <w:jc w:val="left"/>
        <w:rPr>
          <w:rFonts w:ascii="仿宋_GB2312" w:eastAsia="仿宋_GB2312" w:cs="仿宋_GB2312"/>
          <w:spacing w:val="10"/>
          <w:sz w:val="28"/>
          <w:szCs w:val="28"/>
        </w:rPr>
      </w:pPr>
    </w:p>
    <w:tbl>
      <w:tblPr>
        <w:tblStyle w:val="a3"/>
        <w:tblW w:w="8354" w:type="dxa"/>
        <w:tblLook w:val="04A0" w:firstRow="1" w:lastRow="0" w:firstColumn="1" w:lastColumn="0" w:noHBand="0" w:noVBand="1"/>
      </w:tblPr>
      <w:tblGrid>
        <w:gridCol w:w="2825"/>
        <w:gridCol w:w="5529"/>
      </w:tblGrid>
      <w:tr w:rsidR="00E77E1C" w:rsidRPr="00F53F1F" w:rsidTr="00D87B56">
        <w:trPr>
          <w:trHeight w:val="72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</w:t>
            </w:r>
            <w:r w:rsidRPr="00F53F1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/学生</w:t>
            </w:r>
            <w:r>
              <w:rPr>
                <w:rFonts w:ascii="仿宋" w:eastAsia="仿宋" w:hAnsi="仿宋"/>
                <w:sz w:val="28"/>
                <w:szCs w:val="28"/>
              </w:rPr>
              <w:t>组织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/学生</w:t>
            </w:r>
            <w:r>
              <w:rPr>
                <w:rFonts w:ascii="仿宋" w:eastAsia="仿宋" w:hAnsi="仿宋"/>
                <w:sz w:val="28"/>
                <w:szCs w:val="28"/>
              </w:rPr>
              <w:t>社团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7E1C" w:rsidRPr="00F53F1F" w:rsidTr="00D87B56">
        <w:trPr>
          <w:trHeight w:val="182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活动类型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名家大师讲座</w:t>
            </w:r>
          </w:p>
          <w:p w:rsidR="00E77E1C" w:rsidRPr="00C87101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高雅艺术专场</w:t>
            </w:r>
          </w:p>
          <w:p w:rsidR="00E77E1C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校园文艺专场</w:t>
            </w:r>
          </w:p>
          <w:p w:rsidR="00E77E1C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体育文化专项</w:t>
            </w:r>
          </w:p>
          <w:p w:rsidR="00E77E1C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榜样引领专项</w:t>
            </w:r>
          </w:p>
          <w:p w:rsidR="00E77E1C" w:rsidRPr="00C87101" w:rsidRDefault="00E77E1C" w:rsidP="00D87B56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87101"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 w:rsidRPr="00C47E10">
              <w:rPr>
                <w:rFonts w:ascii="仿宋_GB2312" w:eastAsia="仿宋_GB2312" w:hAnsi="宋体" w:cs="仿宋_GB2312" w:hint="eastAsia"/>
                <w:sz w:val="28"/>
                <w:szCs w:val="28"/>
              </w:rPr>
              <w:t>文化创意专项</w:t>
            </w:r>
          </w:p>
        </w:tc>
      </w:tr>
      <w:tr w:rsidR="00E77E1C" w:rsidRPr="00F53F1F" w:rsidTr="00D87B56">
        <w:trPr>
          <w:trHeight w:val="77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活动主题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7E1C" w:rsidRPr="00F53F1F" w:rsidTr="00D87B56">
        <w:trPr>
          <w:trHeight w:val="77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F1F"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7E1C" w:rsidRPr="00F53F1F" w:rsidTr="00D87B56">
        <w:trPr>
          <w:trHeight w:val="77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7E1C" w:rsidRPr="00F53F1F" w:rsidTr="00D87B56">
        <w:trPr>
          <w:trHeight w:val="268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F1F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F1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300</w:t>
            </w:r>
            <w:r w:rsidRPr="00F53F1F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左右</w:t>
            </w:r>
            <w:r w:rsidRPr="00F53F1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7E1C" w:rsidRPr="00F53F1F" w:rsidTr="00D87B56">
        <w:trPr>
          <w:trHeight w:val="97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F1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E1C" w:rsidRPr="00F53F1F" w:rsidRDefault="00E77E1C" w:rsidP="00D87B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0102" w:rsidRDefault="00570102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1C"/>
    <w:rsid w:val="00570102"/>
    <w:rsid w:val="00E02040"/>
    <w:rsid w:val="00E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9D72-B51F-4B7A-BC1F-202BC1B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2019-04-04T08:49:00Z</dcterms:created>
  <dcterms:modified xsi:type="dcterms:W3CDTF">2019-04-04T08:50:00Z</dcterms:modified>
</cp:coreProperties>
</file>